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89" w:rsidRDefault="00855889" w:rsidP="00855889">
      <w:pPr>
        <w:pStyle w:val="POP-Ttulo1"/>
        <w:numPr>
          <w:ilvl w:val="0"/>
          <w:numId w:val="0"/>
        </w:numPr>
        <w:tabs>
          <w:tab w:val="left" w:pos="708"/>
        </w:tabs>
        <w:ind w:left="360" w:hanging="360"/>
        <w:rPr>
          <w:rFonts w:cs="Arial"/>
        </w:rPr>
      </w:pPr>
      <w:bookmarkStart w:id="0" w:name="OLE_LINK4"/>
      <w:bookmarkStart w:id="1" w:name="OLE_LINK3"/>
      <w:r>
        <w:rPr>
          <w:rFonts w:cs="Arial"/>
        </w:rPr>
        <w:t>manutenção de bourderaux</w:t>
      </w:r>
    </w:p>
    <w:bookmarkEnd w:id="0"/>
    <w:bookmarkEnd w:id="1"/>
    <w:p w:rsidR="00855889" w:rsidRDefault="00855889" w:rsidP="0085588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Tela de manutenção de um Bourderaux que será enviado ao banco, referente aos pagamentos aos prestadores de serviços.</w:t>
      </w:r>
    </w:p>
    <w:p w:rsidR="00855889" w:rsidRDefault="00855889" w:rsidP="00855889">
      <w:pPr>
        <w:spacing w:line="360" w:lineRule="auto"/>
        <w:rPr>
          <w:rFonts w:ascii="Arial" w:hAnsi="Arial" w:cs="Arial"/>
          <w:i/>
        </w:rPr>
      </w:pPr>
    </w:p>
    <w:p w:rsidR="00DE51BC" w:rsidRDefault="00834229" w:rsidP="0085588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477000" cy="4991100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BC" w:rsidRDefault="00DE51BC" w:rsidP="00855889">
      <w:pPr>
        <w:spacing w:line="360" w:lineRule="auto"/>
        <w:rPr>
          <w:rFonts w:ascii="Arial" w:hAnsi="Arial" w:cs="Arial"/>
          <w:i/>
        </w:rPr>
      </w:pPr>
    </w:p>
    <w:p w:rsidR="00855889" w:rsidRDefault="00AD71A5" w:rsidP="0085588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Detalhes das opções:</w:t>
      </w:r>
    </w:p>
    <w:p w:rsidR="00DE51BC" w:rsidRDefault="00855889" w:rsidP="0085588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- Incluir </w:t>
      </w:r>
      <w:r w:rsidR="00834229">
        <w:rPr>
          <w:rFonts w:ascii="Arial" w:hAnsi="Arial" w:cs="Arial"/>
          <w:b/>
          <w:i/>
        </w:rPr>
        <w:t>boleto de prestador</w:t>
      </w:r>
      <w:r>
        <w:rPr>
          <w:rFonts w:ascii="Arial" w:hAnsi="Arial" w:cs="Arial"/>
          <w:b/>
          <w:i/>
        </w:rPr>
        <w:t xml:space="preserve"> com C/C Bourderaux:</w:t>
      </w:r>
      <w:r>
        <w:rPr>
          <w:rFonts w:ascii="Arial" w:hAnsi="Arial" w:cs="Arial"/>
          <w:i/>
        </w:rPr>
        <w:t xml:space="preserve"> </w:t>
      </w:r>
      <w:r w:rsidR="00D6094E">
        <w:rPr>
          <w:rFonts w:ascii="Arial" w:hAnsi="Arial" w:cs="Arial"/>
          <w:i/>
        </w:rPr>
        <w:t>opção para incluir a via de boleto utilizando a mesma conta corrente de Bourderaux.</w:t>
      </w:r>
    </w:p>
    <w:p w:rsidR="00DE51BC" w:rsidRDefault="00DE51BC" w:rsidP="00855889">
      <w:pPr>
        <w:spacing w:line="360" w:lineRule="auto"/>
        <w:rPr>
          <w:rFonts w:ascii="Arial" w:hAnsi="Arial" w:cs="Arial"/>
          <w:i/>
        </w:rPr>
      </w:pPr>
    </w:p>
    <w:p w:rsidR="00DE51BC" w:rsidRDefault="00AF191B" w:rsidP="00DE51BC">
      <w:pPr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lastRenderedPageBreak/>
        <w:pict>
          <v:rect id="_x0000_s1026" style="position:absolute;left:0;text-align:left;margin-left:4.35pt;margin-top:89.2pt;width:189.75pt;height:15.75pt;z-index:251658240" filled="f" fillcolor="white [3201]" strokecolor="#c0504d [3205]" strokeweight="2.5pt">
            <v:shadow color="#868686"/>
          </v:rect>
        </w:pict>
      </w:r>
      <w:r w:rsidR="000F6820">
        <w:rPr>
          <w:rFonts w:ascii="Arial" w:hAnsi="Arial" w:cs="Arial"/>
          <w:i/>
          <w:noProof/>
        </w:rPr>
        <w:drawing>
          <wp:inline distT="0" distB="0" distL="0" distR="0">
            <wp:extent cx="6480810" cy="1503624"/>
            <wp:effectExtent l="19050" t="0" r="0" b="0"/>
            <wp:docPr id="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503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BC" w:rsidRDefault="00DE51BC" w:rsidP="00855889">
      <w:pPr>
        <w:spacing w:line="360" w:lineRule="auto"/>
        <w:rPr>
          <w:rFonts w:ascii="Arial" w:hAnsi="Arial" w:cs="Arial"/>
          <w:i/>
        </w:rPr>
      </w:pPr>
    </w:p>
    <w:p w:rsidR="00DE51BC" w:rsidRPr="00DE51BC" w:rsidRDefault="00855889" w:rsidP="0085588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No momento de incluir a via de boleto, será solicitada a informação do código de barras do boleto, quando não existir a informação.</w:t>
      </w:r>
    </w:p>
    <w:p w:rsidR="00855889" w:rsidRDefault="00855889" w:rsidP="00855889">
      <w:pPr>
        <w:spacing w:line="360" w:lineRule="auto"/>
        <w:rPr>
          <w:rFonts w:ascii="Arial" w:hAnsi="Arial" w:cs="Arial"/>
          <w:i/>
        </w:rPr>
      </w:pPr>
    </w:p>
    <w:p w:rsidR="00DE51BC" w:rsidRDefault="00AF191B" w:rsidP="00DE51BC">
      <w:pPr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pict>
          <v:rect id="_x0000_s1027" style="position:absolute;left:0;text-align:left;margin-left:93.6pt;margin-top:79.75pt;width:319.5pt;height:41.25pt;z-index:251659264" filled="f" fillcolor="white [3201]" strokecolor="#c0504d [3205]" strokeweight="2.5pt">
            <v:shadow color="#868686"/>
          </v:rect>
        </w:pict>
      </w:r>
      <w:r w:rsidR="00DE51BC">
        <w:rPr>
          <w:rFonts w:ascii="Arial" w:hAnsi="Arial" w:cs="Arial"/>
          <w:i/>
          <w:noProof/>
        </w:rPr>
        <w:drawing>
          <wp:inline distT="0" distB="0" distL="0" distR="0">
            <wp:extent cx="4257675" cy="1657350"/>
            <wp:effectExtent l="19050" t="0" r="9525" b="0"/>
            <wp:docPr id="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BC" w:rsidRDefault="00DE51BC" w:rsidP="00DE51BC">
      <w:pPr>
        <w:spacing w:line="360" w:lineRule="auto"/>
        <w:jc w:val="center"/>
        <w:rPr>
          <w:rFonts w:ascii="Arial" w:hAnsi="Arial" w:cs="Arial"/>
          <w:i/>
        </w:rPr>
      </w:pPr>
    </w:p>
    <w:p w:rsidR="00AC47FF" w:rsidRDefault="00D150AB" w:rsidP="00AC47FF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Caso </w:t>
      </w:r>
      <w:r w:rsidR="00BB603C">
        <w:rPr>
          <w:rFonts w:ascii="Arial" w:hAnsi="Arial" w:cs="Arial"/>
          <w:i/>
        </w:rPr>
        <w:t xml:space="preserve">não seja informada o código de barras ou esteja inválida, a inclusão do </w:t>
      </w:r>
      <w:r w:rsidR="000F6820">
        <w:rPr>
          <w:rFonts w:ascii="Arial" w:hAnsi="Arial" w:cs="Arial"/>
          <w:i/>
        </w:rPr>
        <w:t>boleto não será processada</w:t>
      </w:r>
      <w:r w:rsidR="00BB603C">
        <w:rPr>
          <w:rFonts w:ascii="Arial" w:hAnsi="Arial" w:cs="Arial"/>
          <w:i/>
        </w:rPr>
        <w:t>.</w:t>
      </w:r>
    </w:p>
    <w:p w:rsidR="007D1152" w:rsidRDefault="007D1152" w:rsidP="00AC47FF">
      <w:pPr>
        <w:spacing w:line="360" w:lineRule="auto"/>
        <w:rPr>
          <w:rFonts w:ascii="Arial" w:hAnsi="Arial" w:cs="Arial"/>
          <w:i/>
        </w:rPr>
      </w:pPr>
    </w:p>
    <w:p w:rsidR="007D1152" w:rsidRDefault="007D1152" w:rsidP="00AC47FF">
      <w:pPr>
        <w:spacing w:line="360" w:lineRule="auto"/>
        <w:rPr>
          <w:rFonts w:ascii="Arial" w:hAnsi="Arial" w:cs="Arial"/>
          <w:i/>
        </w:rPr>
      </w:pPr>
    </w:p>
    <w:sectPr w:rsidR="007D1152" w:rsidSect="00F444B9">
      <w:headerReference w:type="default" r:id="rId14"/>
      <w:footerReference w:type="even" r:id="rId15"/>
      <w:footerReference w:type="default" r:id="rId16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E4" w:rsidRDefault="00AE55E4">
      <w:r>
        <w:separator/>
      </w:r>
    </w:p>
  </w:endnote>
  <w:endnote w:type="continuationSeparator" w:id="0">
    <w:p w:rsidR="00AE55E4" w:rsidRDefault="00AE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AF19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E4" w:rsidRDefault="00AE55E4">
      <w:r>
        <w:separator/>
      </w:r>
    </w:p>
  </w:footnote>
  <w:footnote w:type="continuationSeparator" w:id="0">
    <w:p w:rsidR="00AE55E4" w:rsidRDefault="00AE5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3319D3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DOCUMENTAÇÃO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425"/>
  <w:noPunctuationKerning/>
  <w:characterSpacingControl w:val="doNotCompress"/>
  <w:hdrShapeDefaults>
    <o:shapedefaults v:ext="edit" spidmax="2969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0F6820"/>
    <w:rsid w:val="001010C3"/>
    <w:rsid w:val="00101624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3494"/>
    <w:rsid w:val="001E4097"/>
    <w:rsid w:val="001F0649"/>
    <w:rsid w:val="001F29AA"/>
    <w:rsid w:val="001F2C59"/>
    <w:rsid w:val="001F5926"/>
    <w:rsid w:val="001F5972"/>
    <w:rsid w:val="00203696"/>
    <w:rsid w:val="0020412F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40F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20C48"/>
    <w:rsid w:val="00623307"/>
    <w:rsid w:val="006234C7"/>
    <w:rsid w:val="006257C7"/>
    <w:rsid w:val="00627644"/>
    <w:rsid w:val="00633E4F"/>
    <w:rsid w:val="00635F83"/>
    <w:rsid w:val="00636297"/>
    <w:rsid w:val="006400CB"/>
    <w:rsid w:val="00640599"/>
    <w:rsid w:val="006425B5"/>
    <w:rsid w:val="00642AAB"/>
    <w:rsid w:val="00651707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F2B94"/>
    <w:rsid w:val="00702638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1152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229"/>
    <w:rsid w:val="00834C63"/>
    <w:rsid w:val="008356CE"/>
    <w:rsid w:val="0084664B"/>
    <w:rsid w:val="00847EE2"/>
    <w:rsid w:val="008519DB"/>
    <w:rsid w:val="0085377B"/>
    <w:rsid w:val="00855889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3C7"/>
    <w:rsid w:val="008A4C71"/>
    <w:rsid w:val="008A5ADF"/>
    <w:rsid w:val="008A65F1"/>
    <w:rsid w:val="008A6F47"/>
    <w:rsid w:val="008A7643"/>
    <w:rsid w:val="008B1228"/>
    <w:rsid w:val="008B7CF9"/>
    <w:rsid w:val="008C1267"/>
    <w:rsid w:val="008C34EC"/>
    <w:rsid w:val="008D05E1"/>
    <w:rsid w:val="008D3754"/>
    <w:rsid w:val="008D3A5B"/>
    <w:rsid w:val="008D3BD8"/>
    <w:rsid w:val="008D43ED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E26DA"/>
    <w:rsid w:val="009E5A6A"/>
    <w:rsid w:val="009E5A98"/>
    <w:rsid w:val="009F5F31"/>
    <w:rsid w:val="00A01238"/>
    <w:rsid w:val="00A03975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B2A8F"/>
    <w:rsid w:val="00AB4A07"/>
    <w:rsid w:val="00AC47FF"/>
    <w:rsid w:val="00AC4C71"/>
    <w:rsid w:val="00AD006B"/>
    <w:rsid w:val="00AD0432"/>
    <w:rsid w:val="00AD061F"/>
    <w:rsid w:val="00AD2302"/>
    <w:rsid w:val="00AD61FD"/>
    <w:rsid w:val="00AD71A5"/>
    <w:rsid w:val="00AE1F53"/>
    <w:rsid w:val="00AE1FEE"/>
    <w:rsid w:val="00AE55E4"/>
    <w:rsid w:val="00AF0901"/>
    <w:rsid w:val="00AF191B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603C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B7B0E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7A80"/>
    <w:rsid w:val="00D10ADE"/>
    <w:rsid w:val="00D13B43"/>
    <w:rsid w:val="00D150AB"/>
    <w:rsid w:val="00D21779"/>
    <w:rsid w:val="00D21965"/>
    <w:rsid w:val="00D23C2E"/>
    <w:rsid w:val="00D256D6"/>
    <w:rsid w:val="00D260F3"/>
    <w:rsid w:val="00D263F1"/>
    <w:rsid w:val="00D2687F"/>
    <w:rsid w:val="00D27E4C"/>
    <w:rsid w:val="00D441F4"/>
    <w:rsid w:val="00D514C1"/>
    <w:rsid w:val="00D51E3A"/>
    <w:rsid w:val="00D52CDE"/>
    <w:rsid w:val="00D54BE8"/>
    <w:rsid w:val="00D60211"/>
    <w:rsid w:val="00D6094E"/>
    <w:rsid w:val="00D74483"/>
    <w:rsid w:val="00D744F4"/>
    <w:rsid w:val="00D76206"/>
    <w:rsid w:val="00D87D7D"/>
    <w:rsid w:val="00D9407F"/>
    <w:rsid w:val="00D972CA"/>
    <w:rsid w:val="00D97442"/>
    <w:rsid w:val="00D978F2"/>
    <w:rsid w:val="00DA074B"/>
    <w:rsid w:val="00DA4393"/>
    <w:rsid w:val="00DB17FE"/>
    <w:rsid w:val="00DC20F4"/>
    <w:rsid w:val="00DC4AFA"/>
    <w:rsid w:val="00DD34B2"/>
    <w:rsid w:val="00DD4054"/>
    <w:rsid w:val="00DE294A"/>
    <w:rsid w:val="00DE51BC"/>
    <w:rsid w:val="00DE7544"/>
    <w:rsid w:val="00DF3BEE"/>
    <w:rsid w:val="00E002F9"/>
    <w:rsid w:val="00E02573"/>
    <w:rsid w:val="00E1055B"/>
    <w:rsid w:val="00E121DA"/>
    <w:rsid w:val="00E1230E"/>
    <w:rsid w:val="00E1293F"/>
    <w:rsid w:val="00E1661D"/>
    <w:rsid w:val="00E27FC0"/>
    <w:rsid w:val="00E400C4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2DB6"/>
    <w:rsid w:val="00FD3B8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39DB7-DD7F-40C6-A536-B334CD8C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rafael.tamura</cp:lastModifiedBy>
  <cp:revision>65</cp:revision>
  <cp:lastPrinted>2014-05-20T11:42:00Z</cp:lastPrinted>
  <dcterms:created xsi:type="dcterms:W3CDTF">2014-05-20T19:44:00Z</dcterms:created>
  <dcterms:modified xsi:type="dcterms:W3CDTF">2015-07-17T18:51:00Z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